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HCS Graduate Learner Outcome 1: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As a Henry County graduate, I will read closely to analyze and evaluate all forms of text (both informational and literature)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left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HCS Graduate Learner Outcome 2: 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As a Henry County graduate, I will construct task-appropriate writing for diverse purposes and audiences. 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left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left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HCS Graduate Learner Outcome 3: </w:t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As a Henry County graduate, I will design and implement concise and sustained research tasks focused by questions and understandings of rigorous and relevant topics. </w:t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HCS Graduate Learner Outcome 4:</w:t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As a Henry County graduate, I will collaborate and communicate effectively to participate in diverse discussions, share information and reasoning, or provide supporting evidence to convey and/or respond to clear and distinct perspectives. 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HCS Graduate Learner Outcome 5: </w:t>
      </w:r>
    </w:p>
    <w:p w:rsidR="00000000" w:rsidDel="00000000" w:rsidP="00000000" w:rsidRDefault="00000000" w:rsidRPr="00000000" w14:paraId="00000014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92"/>
          <w:szCs w:val="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2"/>
          <w:szCs w:val="92"/>
          <w:rtl w:val="0"/>
        </w:rPr>
        <w:t xml:space="preserve">As a Henry County graduate, I will employ the conventions of language, including word choice, effectively in written or spoken word. </w:t>
      </w:r>
    </w:p>
    <w:p w:rsidR="00000000" w:rsidDel="00000000" w:rsidP="00000000" w:rsidRDefault="00000000" w:rsidRPr="00000000" w14:paraId="00000015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